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086372FB"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w:t>
      </w:r>
      <w:r w:rsidR="000D5273">
        <w:rPr>
          <w:rFonts w:ascii="Arial" w:eastAsia="Batang" w:hAnsi="Arial" w:cs="Arial"/>
          <w:b/>
          <w:bCs/>
          <w:sz w:val="24"/>
          <w:szCs w:val="24"/>
          <w:lang w:val="en-GB"/>
        </w:rPr>
        <w:t>10</w:t>
      </w:r>
      <w:r w:rsidR="008D0FFF">
        <w:rPr>
          <w:rFonts w:ascii="Arial" w:eastAsia="Batang" w:hAnsi="Arial" w:cs="Arial"/>
          <w:b/>
          <w:bCs/>
          <w:sz w:val="24"/>
          <w:szCs w:val="24"/>
          <w:lang w:val="en-GB"/>
        </w:rPr>
        <w:t>bis-e</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501F9" w:rsidRPr="005501F9">
        <w:rPr>
          <w:rFonts w:ascii="Arial" w:eastAsia="Batang" w:hAnsi="Arial" w:cs="Arial"/>
          <w:b/>
          <w:bCs/>
          <w:sz w:val="24"/>
          <w:szCs w:val="24"/>
        </w:rPr>
        <w:t>R1-2209522</w:t>
      </w:r>
    </w:p>
    <w:p w14:paraId="55986A47" w14:textId="74FAEC28" w:rsidR="00572B09" w:rsidRDefault="008D0FFF" w:rsidP="00572B09">
      <w:pPr>
        <w:spacing w:after="60"/>
        <w:ind w:left="1985" w:hanging="1985"/>
        <w:rPr>
          <w:rFonts w:ascii="Arial" w:eastAsia="MS Mincho" w:hAnsi="Arial" w:cs="Arial"/>
          <w:b/>
          <w:bCs/>
          <w:sz w:val="24"/>
          <w:szCs w:val="24"/>
          <w:lang w:val="en-GB" w:eastAsia="ja-JP"/>
        </w:rPr>
      </w:pPr>
      <w:r w:rsidRPr="008D0FFF">
        <w:rPr>
          <w:rFonts w:ascii="Arial" w:eastAsia="MS Mincho" w:hAnsi="Arial" w:cs="Arial"/>
          <w:b/>
          <w:bCs/>
          <w:sz w:val="24"/>
          <w:szCs w:val="24"/>
          <w:lang w:val="en-GB" w:eastAsia="ja-JP"/>
        </w:rPr>
        <w:t>e-Meeting</w:t>
      </w:r>
      <w:r w:rsidR="0077484A" w:rsidRPr="0077484A">
        <w:rPr>
          <w:rFonts w:ascii="Arial" w:eastAsia="MS Mincho" w:hAnsi="Arial" w:cs="Arial"/>
          <w:b/>
          <w:bCs/>
          <w:sz w:val="24"/>
          <w:szCs w:val="24"/>
          <w:lang w:val="en-GB" w:eastAsia="ja-JP"/>
        </w:rPr>
        <w:t xml:space="preserve">, </w:t>
      </w:r>
      <w:r w:rsidR="005747FD" w:rsidRPr="005747FD">
        <w:rPr>
          <w:rFonts w:ascii="Arial" w:eastAsia="MS Mincho" w:hAnsi="Arial" w:cs="Arial"/>
          <w:b/>
          <w:bCs/>
          <w:sz w:val="24"/>
          <w:szCs w:val="24"/>
          <w:lang w:val="en-GB" w:eastAsia="ja-JP"/>
        </w:rPr>
        <w:t>October 10</w:t>
      </w:r>
      <w:r w:rsidR="005747FD" w:rsidRPr="0050467D">
        <w:rPr>
          <w:rFonts w:ascii="Arial" w:eastAsia="MS Mincho" w:hAnsi="Arial" w:cs="Arial"/>
          <w:b/>
          <w:bCs/>
          <w:sz w:val="24"/>
          <w:szCs w:val="24"/>
          <w:vertAlign w:val="superscript"/>
          <w:lang w:val="en-GB" w:eastAsia="ja-JP"/>
        </w:rPr>
        <w:t>th</w:t>
      </w:r>
      <w:r w:rsidR="005747FD" w:rsidRPr="005747FD">
        <w:rPr>
          <w:rFonts w:ascii="Arial" w:eastAsia="MS Mincho" w:hAnsi="Arial" w:cs="Arial"/>
          <w:b/>
          <w:bCs/>
          <w:sz w:val="24"/>
          <w:szCs w:val="24"/>
          <w:lang w:val="en-GB" w:eastAsia="ja-JP"/>
        </w:rPr>
        <w:t xml:space="preserve"> – 19</w:t>
      </w:r>
      <w:r w:rsidR="005747FD" w:rsidRPr="0050467D">
        <w:rPr>
          <w:rFonts w:ascii="Arial" w:eastAsia="MS Mincho" w:hAnsi="Arial" w:cs="Arial"/>
          <w:b/>
          <w:bCs/>
          <w:sz w:val="24"/>
          <w:szCs w:val="24"/>
          <w:vertAlign w:val="superscript"/>
          <w:lang w:val="en-GB" w:eastAsia="ja-JP"/>
        </w:rPr>
        <w:t>th</w:t>
      </w:r>
      <w:r w:rsidR="005747FD" w:rsidRPr="005747FD">
        <w:rPr>
          <w:rFonts w:ascii="Arial" w:eastAsia="MS Mincho" w:hAnsi="Arial" w:cs="Arial"/>
          <w:b/>
          <w:bCs/>
          <w:sz w:val="24"/>
          <w:szCs w:val="24"/>
          <w:lang w:val="en-GB" w:eastAsia="ja-JP"/>
        </w:rPr>
        <w:t>, 2022</w:t>
      </w:r>
    </w:p>
    <w:p w14:paraId="08D37A17" w14:textId="77777777" w:rsidR="00AD25DD" w:rsidRPr="00A237CB" w:rsidRDefault="00AD25DD" w:rsidP="00572B09">
      <w:pPr>
        <w:spacing w:after="60"/>
        <w:ind w:left="1985" w:hanging="1985"/>
        <w:rPr>
          <w:rFonts w:ascii="Arial" w:hAnsi="Arial" w:cs="Arial"/>
          <w:b/>
          <w:sz w:val="22"/>
          <w:szCs w:val="22"/>
          <w:lang w:val="en-GB"/>
        </w:rPr>
      </w:pPr>
    </w:p>
    <w:p w14:paraId="5332155C" w14:textId="18157A2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E11DF6">
        <w:rPr>
          <w:rFonts w:ascii="Arial" w:hAnsi="Arial" w:cs="Arial"/>
          <w:b/>
          <w:sz w:val="22"/>
          <w:szCs w:val="22"/>
        </w:rPr>
        <w:t>4</w:t>
      </w:r>
      <w:r>
        <w:rPr>
          <w:rFonts w:ascii="Arial" w:hAnsi="Arial" w:cs="Arial"/>
          <w:b/>
          <w:sz w:val="22"/>
          <w:szCs w:val="22"/>
        </w:rPr>
        <w:t>.</w:t>
      </w:r>
      <w:r w:rsidR="00484080">
        <w:rPr>
          <w:rFonts w:ascii="Arial" w:hAnsi="Arial" w:cs="Arial"/>
          <w:b/>
          <w:sz w:val="22"/>
          <w:szCs w:val="22"/>
        </w:rPr>
        <w:t>2</w:t>
      </w:r>
    </w:p>
    <w:p w14:paraId="436A5605" w14:textId="398F6A1F"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486099" w:rsidRPr="00486099">
        <w:rPr>
          <w:rFonts w:ascii="Arial" w:hAnsi="Arial" w:cs="Arial"/>
          <w:b/>
          <w:sz w:val="22"/>
          <w:szCs w:val="22"/>
        </w:rPr>
        <w:t>Discussion on power-domain enhancements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4D578FF6" w14:textId="4E0FD395" w:rsidR="00AB0C64" w:rsidRDefault="00AB0C64" w:rsidP="00AB0C64">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Rel-18 WID on further NR coverage enhancements [1] describes the following objective for power-domain enhancements:</w:t>
      </w:r>
    </w:p>
    <w:tbl>
      <w:tblPr>
        <w:tblStyle w:val="TableGrid"/>
        <w:tblW w:w="0" w:type="auto"/>
        <w:tblLook w:val="04A0" w:firstRow="1" w:lastRow="0" w:firstColumn="1" w:lastColumn="0" w:noHBand="0" w:noVBand="1"/>
      </w:tblPr>
      <w:tblGrid>
        <w:gridCol w:w="9631"/>
      </w:tblGrid>
      <w:tr w:rsidR="00592FCD" w14:paraId="758D8B48" w14:textId="77777777" w:rsidTr="00592FCD">
        <w:tc>
          <w:tcPr>
            <w:tcW w:w="9631" w:type="dxa"/>
          </w:tcPr>
          <w:p w14:paraId="34A92039" w14:textId="77777777" w:rsidR="00E3576E" w:rsidRDefault="00E3576E" w:rsidP="00E3576E">
            <w:pPr>
              <w:numPr>
                <w:ilvl w:val="0"/>
                <w:numId w:val="35"/>
              </w:numPr>
              <w:autoSpaceDN w:val="0"/>
              <w:spacing w:before="120" w:after="120" w:line="276" w:lineRule="auto"/>
              <w:ind w:hanging="357"/>
              <w:jc w:val="both"/>
              <w:rPr>
                <w:rFonts w:eastAsia="SimSun"/>
                <w:lang w:eastAsia="zh-CN"/>
              </w:rPr>
            </w:pPr>
            <w:r>
              <w:rPr>
                <w:rFonts w:eastAsia="SimSun"/>
                <w:lang w:eastAsia="zh-CN"/>
              </w:rPr>
              <w:t>Study and if necessary specify following power domain enhancements</w:t>
            </w:r>
          </w:p>
          <w:p w14:paraId="5745EBBE" w14:textId="77777777" w:rsidR="00E3576E" w:rsidRDefault="00E3576E" w:rsidP="00E3576E">
            <w:pPr>
              <w:numPr>
                <w:ilvl w:val="1"/>
                <w:numId w:val="35"/>
              </w:numPr>
              <w:autoSpaceDN w:val="0"/>
              <w:spacing w:before="120" w:after="120" w:line="276" w:lineRule="auto"/>
              <w:jc w:val="both"/>
              <w:rPr>
                <w:rFonts w:eastAsia="Yu Mincho"/>
                <w:iCs/>
                <w:lang w:eastAsia="en-GB"/>
              </w:rPr>
            </w:pPr>
            <w:r>
              <w:rPr>
                <w:iCs/>
              </w:rPr>
              <w:t xml:space="preserve">Enhancements to realize </w:t>
            </w:r>
            <w:r>
              <w:rPr>
                <w:rFonts w:eastAsia="SimSun"/>
                <w:iCs/>
                <w:lang w:eastAsia="zh-CN"/>
              </w:rPr>
              <w:t>i</w:t>
            </w:r>
            <w:r>
              <w:rPr>
                <w:iCs/>
              </w:rPr>
              <w:t xml:space="preserve">ncreasing UE power high limit for CA and DC based on Rel-17 RAN4 work on “Increasing UE power high limit for CA and DC”, </w:t>
            </w:r>
            <w:r>
              <w:rPr>
                <w:rFonts w:eastAsia="SimSun"/>
                <w:iCs/>
                <w:lang w:eastAsia="zh-CN"/>
              </w:rPr>
              <w:t xml:space="preserve">in compliance with </w:t>
            </w:r>
            <w:r>
              <w:rPr>
                <w:iCs/>
              </w:rPr>
              <w:t>relevant regulations (RAN4, RAN1)</w:t>
            </w:r>
          </w:p>
          <w:p w14:paraId="625BC47B" w14:textId="7DEE6C06" w:rsidR="005420E8" w:rsidRPr="00E3576E" w:rsidRDefault="00E3576E" w:rsidP="00E3576E">
            <w:pPr>
              <w:numPr>
                <w:ilvl w:val="1"/>
                <w:numId w:val="35"/>
              </w:numPr>
              <w:autoSpaceDN w:val="0"/>
              <w:spacing w:before="120" w:after="120" w:line="276" w:lineRule="auto"/>
              <w:jc w:val="both"/>
              <w:rPr>
                <w:iCs/>
              </w:rPr>
            </w:pPr>
            <w:r>
              <w:rPr>
                <w:iCs/>
              </w:rPr>
              <w:t xml:space="preserve">Enhancements to reduce MPR/PAR, including </w:t>
            </w:r>
            <w:r>
              <w:rPr>
                <w:rFonts w:eastAsia="SimSun"/>
                <w:iCs/>
                <w:lang w:eastAsia="zh-CN"/>
              </w:rPr>
              <w:t xml:space="preserve">frequency domain </w:t>
            </w:r>
            <w:r>
              <w:rPr>
                <w:iCs/>
              </w:rPr>
              <w:t>spectrum shaping</w:t>
            </w:r>
            <w:r>
              <w:t xml:space="preserve"> </w:t>
            </w:r>
            <w:r>
              <w:rPr>
                <w:iCs/>
              </w:rPr>
              <w:t>with and without spectrum extension for DFT-S-OFDM and tone reservation (RAN4, RAN1)</w:t>
            </w:r>
          </w:p>
        </w:tc>
      </w:tr>
    </w:tbl>
    <w:p w14:paraId="483B45CA" w14:textId="00139D67" w:rsidR="00592FCD" w:rsidRDefault="00592FCD" w:rsidP="00FB426F">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5CFFD50E" w14:textId="0136BF0A" w:rsidR="00C51C64" w:rsidRPr="00C47D3E" w:rsidRDefault="00C227F4" w:rsidP="00C47D3E">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the contribution we discuss </w:t>
      </w:r>
      <w:r w:rsidR="00F63D81">
        <w:rPr>
          <w:rFonts w:ascii="Times New Roman" w:hAnsi="Times New Roman"/>
          <w:b w:val="0"/>
          <w:bCs/>
          <w:sz w:val="20"/>
          <w:lang w:eastAsia="zh-TW"/>
        </w:rPr>
        <w:t>our view on power-domain enhancements for fur</w:t>
      </w:r>
      <w:r w:rsidR="00BC4CFB">
        <w:rPr>
          <w:rFonts w:ascii="Times New Roman" w:hAnsi="Times New Roman"/>
          <w:b w:val="0"/>
          <w:bCs/>
          <w:sz w:val="20"/>
          <w:lang w:eastAsia="zh-TW"/>
        </w:rPr>
        <w:t>t</w:t>
      </w:r>
      <w:r w:rsidR="00F63D81">
        <w:rPr>
          <w:rFonts w:ascii="Times New Roman" w:hAnsi="Times New Roman"/>
          <w:b w:val="0"/>
          <w:bCs/>
          <w:sz w:val="20"/>
          <w:lang w:eastAsia="zh-TW"/>
        </w:rPr>
        <w:t>her NR uplink coverage enhancements</w:t>
      </w:r>
      <w:r>
        <w:rPr>
          <w:rFonts w:ascii="Times New Roman" w:hAnsi="Times New Roman"/>
          <w:b w:val="0"/>
          <w:bCs/>
          <w:sz w:val="20"/>
          <w:lang w:eastAsia="zh-TW"/>
        </w:rPr>
        <w:t xml:space="preserve">. </w:t>
      </w:r>
    </w:p>
    <w:p w14:paraId="55CE28D2" w14:textId="04EC593B" w:rsidR="00E21EC2" w:rsidRPr="00E21EC2" w:rsidRDefault="00572B09" w:rsidP="00E21EC2">
      <w:pPr>
        <w:pStyle w:val="Heading1"/>
        <w:jc w:val="both"/>
        <w:rPr>
          <w:lang w:eastAsia="zh-TW"/>
        </w:rPr>
      </w:pPr>
      <w:r w:rsidRPr="0030378F">
        <w:rPr>
          <w:rFonts w:cs="Arial"/>
          <w:lang w:val="en-US" w:eastAsia="zh-TW"/>
        </w:rPr>
        <w:t>Discussion</w:t>
      </w:r>
    </w:p>
    <w:p w14:paraId="1985F58A" w14:textId="4B43393F" w:rsidR="00937EB4" w:rsidRDefault="00937EB4" w:rsidP="00B51979">
      <w:pPr>
        <w:jc w:val="both"/>
        <w:rPr>
          <w:bCs/>
          <w:lang w:eastAsia="zh-TW"/>
        </w:rPr>
      </w:pPr>
      <w:r>
        <w:rPr>
          <w:bCs/>
          <w:lang w:eastAsia="zh-TW"/>
        </w:rPr>
        <w:t xml:space="preserve">The first item under power-domain enhancements is increasing UE power high limit. In our </w:t>
      </w:r>
      <w:r w:rsidR="000F0AC3">
        <w:rPr>
          <w:bCs/>
          <w:lang w:eastAsia="zh-TW"/>
        </w:rPr>
        <w:t>understanding</w:t>
      </w:r>
      <w:r>
        <w:rPr>
          <w:bCs/>
          <w:lang w:eastAsia="zh-TW"/>
        </w:rPr>
        <w:t>, this objective is a continuation of previous Rel-17 RAN4 work on UE power high limit for CA/DC</w:t>
      </w:r>
      <w:r w:rsidR="00991C93">
        <w:rPr>
          <w:bCs/>
          <w:lang w:eastAsia="zh-TW"/>
        </w:rPr>
        <w:t xml:space="preserve"> [</w:t>
      </w:r>
      <w:r w:rsidR="00421C67">
        <w:rPr>
          <w:bCs/>
          <w:lang w:eastAsia="zh-TW"/>
        </w:rPr>
        <w:t>2</w:t>
      </w:r>
      <w:r w:rsidR="00991C93">
        <w:rPr>
          <w:bCs/>
          <w:lang w:eastAsia="zh-TW"/>
        </w:rPr>
        <w:t>]</w:t>
      </w:r>
      <w:r>
        <w:rPr>
          <w:bCs/>
          <w:lang w:eastAsia="zh-TW"/>
        </w:rPr>
        <w:t xml:space="preserve">. According to the </w:t>
      </w:r>
      <w:r w:rsidR="00991C93">
        <w:rPr>
          <w:bCs/>
          <w:lang w:eastAsia="zh-TW"/>
        </w:rPr>
        <w:t xml:space="preserve">recent </w:t>
      </w:r>
      <w:r w:rsidR="00BA173B">
        <w:rPr>
          <w:bCs/>
          <w:lang w:eastAsia="zh-TW"/>
        </w:rPr>
        <w:t xml:space="preserve">work item </w:t>
      </w:r>
      <w:r>
        <w:rPr>
          <w:bCs/>
          <w:lang w:eastAsia="zh-TW"/>
        </w:rPr>
        <w:t xml:space="preserve">summary </w:t>
      </w:r>
      <w:r w:rsidR="0074071C">
        <w:rPr>
          <w:bCs/>
          <w:lang w:eastAsia="zh-TW"/>
        </w:rPr>
        <w:t xml:space="preserve">in </w:t>
      </w:r>
      <w:r>
        <w:rPr>
          <w:bCs/>
          <w:lang w:eastAsia="zh-TW"/>
        </w:rPr>
        <w:t>[</w:t>
      </w:r>
      <w:r w:rsidR="00421C67">
        <w:rPr>
          <w:bCs/>
          <w:lang w:eastAsia="zh-TW"/>
        </w:rPr>
        <w:t>3</w:t>
      </w:r>
      <w:r>
        <w:rPr>
          <w:bCs/>
          <w:lang w:eastAsia="zh-TW"/>
        </w:rPr>
        <w:t>], the following enhancements were introduced in Rel-17:</w:t>
      </w:r>
    </w:p>
    <w:p w14:paraId="3534908A" w14:textId="786BCBC9" w:rsidR="0094304A" w:rsidRPr="0094304A" w:rsidRDefault="0094304A" w:rsidP="00B51979">
      <w:pPr>
        <w:pStyle w:val="ListParagraph"/>
        <w:numPr>
          <w:ilvl w:val="0"/>
          <w:numId w:val="35"/>
        </w:numPr>
        <w:jc w:val="both"/>
        <w:rPr>
          <w:bCs/>
          <w:lang w:eastAsia="zh-TW"/>
        </w:rPr>
      </w:pPr>
      <w:r>
        <w:t>“The work item on Increasing UE power high limit for CA and DC enables a UE to indicate a capability to transmit a maximum output power higher than what the power class for a UL CA or DC configuration would have previously allowed.  In particular, for a UE supporting PC3 (23 dBm) in one band and PC2 (26 dBm) in another band, the carrier aggregation configuration may have been specified for PC2 (26 dBm). ”</w:t>
      </w:r>
    </w:p>
    <w:p w14:paraId="65FE4FAF" w14:textId="3087F51B" w:rsidR="0094304A" w:rsidRDefault="0094304A" w:rsidP="00B51979">
      <w:pPr>
        <w:jc w:val="both"/>
        <w:rPr>
          <w:bCs/>
          <w:lang w:eastAsia="zh-TW"/>
        </w:rPr>
      </w:pPr>
      <w:r>
        <w:rPr>
          <w:bCs/>
          <w:lang w:eastAsia="zh-TW"/>
        </w:rPr>
        <w:t xml:space="preserve">In our view, this Rel-18 work objective should also be </w:t>
      </w:r>
      <w:r w:rsidR="005539A1">
        <w:rPr>
          <w:bCs/>
          <w:lang w:eastAsia="zh-TW"/>
        </w:rPr>
        <w:t>mainly studied</w:t>
      </w:r>
      <w:r>
        <w:rPr>
          <w:bCs/>
          <w:lang w:eastAsia="zh-TW"/>
        </w:rPr>
        <w:t xml:space="preserve"> by RAN4 as the lead WG. If RAN4 requires RAN1’s assistance, RAN1 can hold discussions as per RAN4 request. </w:t>
      </w:r>
    </w:p>
    <w:p w14:paraId="6DB0C4AE" w14:textId="0F6E7680" w:rsidR="0094304A" w:rsidRDefault="0094304A" w:rsidP="00B51979">
      <w:pPr>
        <w:jc w:val="both"/>
        <w:rPr>
          <w:bCs/>
          <w:lang w:eastAsia="zh-TW"/>
        </w:rPr>
      </w:pPr>
      <w:r>
        <w:rPr>
          <w:bCs/>
          <w:lang w:eastAsia="zh-TW"/>
        </w:rPr>
        <w:t>We have the following observation.</w:t>
      </w:r>
    </w:p>
    <w:p w14:paraId="6847717F" w14:textId="3D76DDED" w:rsidR="0094304A" w:rsidRDefault="0094304A" w:rsidP="0094304A">
      <w:pPr>
        <w:jc w:val="both"/>
        <w:rPr>
          <w:bCs/>
          <w:i/>
          <w:iCs/>
          <w:lang w:eastAsia="zh-TW"/>
        </w:rPr>
      </w:pPr>
      <w:r>
        <w:rPr>
          <w:b/>
          <w:i/>
          <w:iCs/>
          <w:lang w:eastAsia="zh-TW"/>
        </w:rPr>
        <w:t>Observation 1</w:t>
      </w:r>
      <w:r w:rsidRPr="0093035F">
        <w:rPr>
          <w:b/>
          <w:i/>
          <w:iCs/>
          <w:lang w:eastAsia="zh-TW"/>
        </w:rPr>
        <w:t xml:space="preserve">: </w:t>
      </w:r>
      <w:r>
        <w:rPr>
          <w:bCs/>
          <w:i/>
          <w:iCs/>
          <w:lang w:eastAsia="zh-TW"/>
        </w:rPr>
        <w:t xml:space="preserve">Rel-18 work objective on increasing UE power high limit appears to be </w:t>
      </w:r>
      <w:r w:rsidR="00F20E35">
        <w:rPr>
          <w:bCs/>
          <w:i/>
          <w:iCs/>
          <w:lang w:eastAsia="zh-TW"/>
        </w:rPr>
        <w:t xml:space="preserve">related to Rel-17 RAN4 work, and RAN4 is expected to continue studying this topic as the lead WG. </w:t>
      </w:r>
    </w:p>
    <w:p w14:paraId="36AA9B08" w14:textId="77777777" w:rsidR="00F20E35" w:rsidRPr="00A66039" w:rsidRDefault="00F20E35" w:rsidP="0024651F">
      <w:pPr>
        <w:spacing w:after="0"/>
        <w:jc w:val="both"/>
        <w:rPr>
          <w:bCs/>
          <w:i/>
          <w:iCs/>
          <w:lang w:eastAsia="zh-TW"/>
        </w:rPr>
      </w:pPr>
    </w:p>
    <w:p w14:paraId="1BC4CF0A" w14:textId="1AAE0775" w:rsidR="0094304A" w:rsidRDefault="00F20E35" w:rsidP="00B51979">
      <w:pPr>
        <w:jc w:val="both"/>
        <w:rPr>
          <w:lang w:val="en-GB"/>
        </w:rPr>
      </w:pPr>
      <w:r>
        <w:rPr>
          <w:bCs/>
          <w:lang w:eastAsia="zh-TW"/>
        </w:rPr>
        <w:t xml:space="preserve">The second item under power-domain enhancements is </w:t>
      </w:r>
      <w:r w:rsidR="00032607">
        <w:rPr>
          <w:bCs/>
          <w:lang w:eastAsia="zh-TW"/>
        </w:rPr>
        <w:t xml:space="preserve">to study potential enhancements for </w:t>
      </w:r>
      <w:r>
        <w:rPr>
          <w:bCs/>
          <w:lang w:eastAsia="zh-TW"/>
        </w:rPr>
        <w:t>reducing MPR/PAR</w:t>
      </w:r>
      <w:r w:rsidR="00032607">
        <w:rPr>
          <w:bCs/>
          <w:lang w:eastAsia="zh-TW"/>
        </w:rPr>
        <w:t xml:space="preserve">. </w:t>
      </w:r>
      <w:r w:rsidR="004828AF">
        <w:rPr>
          <w:bCs/>
          <w:lang w:eastAsia="zh-TW"/>
        </w:rPr>
        <w:t xml:space="preserve">In our understanding, the thinking for this item is that if MPR values in TS38.101-1 </w:t>
      </w:r>
      <w:r w:rsidR="004828AF">
        <w:rPr>
          <w:lang w:val="en-GB"/>
        </w:rPr>
        <w:t>(i.e., Table 6.2.2-1, Table 6.2.2-2, and Table 6.2.2-5) can be reduced, UE can transmit with higher power since P</w:t>
      </w:r>
      <w:r w:rsidR="004828AF" w:rsidRPr="004828AF">
        <w:rPr>
          <w:vertAlign w:val="subscript"/>
          <w:lang w:val="en-GB"/>
        </w:rPr>
        <w:t>CMAX</w:t>
      </w:r>
      <w:r w:rsidR="004828AF">
        <w:rPr>
          <w:lang w:val="en-GB"/>
        </w:rPr>
        <w:t xml:space="preserve"> will be higher. However, RAN4 regulatory requirements would be violated unless some adjustments are made to reduce PAPR. </w:t>
      </w:r>
    </w:p>
    <w:p w14:paraId="2160D299" w14:textId="2C9090EC" w:rsidR="004828AF" w:rsidRDefault="004828AF" w:rsidP="00B51979">
      <w:pPr>
        <w:jc w:val="both"/>
        <w:rPr>
          <w:bCs/>
          <w:lang w:eastAsia="zh-TW"/>
        </w:rPr>
      </w:pPr>
      <w:r>
        <w:rPr>
          <w:lang w:val="en-GB"/>
        </w:rPr>
        <w:t xml:space="preserve">In our view, this item also requires RAN4 expertise more than RAN1, as WID also lists RAN4 as the lead WG for this task as well. In our view, it also seems to be a more reasonable approach to wait for RAN4 discussions and progress before RAN1 starts discussions on this task. </w:t>
      </w:r>
    </w:p>
    <w:p w14:paraId="1F8D0BA3" w14:textId="3F62855E" w:rsidR="00937EB4" w:rsidRDefault="004828AF" w:rsidP="00B51979">
      <w:pPr>
        <w:jc w:val="both"/>
        <w:rPr>
          <w:bCs/>
          <w:lang w:eastAsia="zh-TW"/>
        </w:rPr>
      </w:pPr>
      <w:r>
        <w:rPr>
          <w:b/>
          <w:i/>
          <w:iCs/>
          <w:lang w:eastAsia="zh-TW"/>
        </w:rPr>
        <w:t>Observation 2</w:t>
      </w:r>
      <w:r w:rsidRPr="0093035F">
        <w:rPr>
          <w:b/>
          <w:i/>
          <w:iCs/>
          <w:lang w:eastAsia="zh-TW"/>
        </w:rPr>
        <w:t xml:space="preserve">: </w:t>
      </w:r>
      <w:r>
        <w:rPr>
          <w:bCs/>
          <w:i/>
          <w:iCs/>
          <w:lang w:eastAsia="zh-TW"/>
        </w:rPr>
        <w:t>Rel-18 work objective on reducing MPR/</w:t>
      </w:r>
      <w:r w:rsidR="002962A5">
        <w:rPr>
          <w:bCs/>
          <w:i/>
          <w:iCs/>
          <w:lang w:eastAsia="zh-TW"/>
        </w:rPr>
        <w:t>PAR</w:t>
      </w:r>
      <w:r>
        <w:rPr>
          <w:bCs/>
          <w:i/>
          <w:iCs/>
          <w:lang w:eastAsia="zh-TW"/>
        </w:rPr>
        <w:t xml:space="preserve"> appears to be </w:t>
      </w:r>
      <w:r w:rsidR="002962A5">
        <w:rPr>
          <w:bCs/>
          <w:i/>
          <w:iCs/>
          <w:lang w:eastAsia="zh-TW"/>
        </w:rPr>
        <w:t xml:space="preserve">more in the scope </w:t>
      </w:r>
      <w:r w:rsidR="0024651F">
        <w:rPr>
          <w:bCs/>
          <w:i/>
          <w:iCs/>
          <w:lang w:eastAsia="zh-TW"/>
        </w:rPr>
        <w:t>of</w:t>
      </w:r>
      <w:r w:rsidR="002962A5">
        <w:rPr>
          <w:bCs/>
          <w:i/>
          <w:iCs/>
          <w:lang w:eastAsia="zh-TW"/>
        </w:rPr>
        <w:t xml:space="preserve"> RAN4 expertise</w:t>
      </w:r>
      <w:r w:rsidR="000166B3">
        <w:rPr>
          <w:bCs/>
          <w:i/>
          <w:iCs/>
          <w:lang w:eastAsia="zh-TW"/>
        </w:rPr>
        <w:t>.</w:t>
      </w:r>
    </w:p>
    <w:p w14:paraId="10EC9D1C" w14:textId="618BF90D" w:rsidR="00276BF1" w:rsidRDefault="00935C72" w:rsidP="00B51979">
      <w:pPr>
        <w:jc w:val="both"/>
        <w:rPr>
          <w:bCs/>
          <w:lang w:eastAsia="zh-TW"/>
        </w:rPr>
      </w:pPr>
      <w:r>
        <w:rPr>
          <w:bCs/>
          <w:lang w:eastAsia="zh-TW"/>
        </w:rPr>
        <w:t xml:space="preserve">Based on these views, we prefer that RAN1 puts discussions on hold for power-domain enhancements objectives and waits for RAN4 progress. If RAN1 assistance is needed by RAN4, RAN1 can have more discussions </w:t>
      </w:r>
      <w:r w:rsidR="00827C65">
        <w:rPr>
          <w:bCs/>
          <w:lang w:eastAsia="zh-TW"/>
        </w:rPr>
        <w:t xml:space="preserve">if </w:t>
      </w:r>
      <w:r>
        <w:rPr>
          <w:bCs/>
          <w:lang w:eastAsia="zh-TW"/>
        </w:rPr>
        <w:t>needed.</w:t>
      </w:r>
    </w:p>
    <w:p w14:paraId="0D6D59B3" w14:textId="6FB56EDC" w:rsidR="00276BF1" w:rsidRDefault="00A618DC" w:rsidP="00516650">
      <w:pPr>
        <w:jc w:val="both"/>
        <w:rPr>
          <w:b/>
          <w:lang w:eastAsia="zh-TW"/>
        </w:rPr>
      </w:pPr>
      <w:r>
        <w:rPr>
          <w:bCs/>
          <w:lang w:eastAsia="zh-TW"/>
        </w:rPr>
        <w:lastRenderedPageBreak/>
        <w:t>We propose the following:</w:t>
      </w:r>
    </w:p>
    <w:p w14:paraId="04CEC63B" w14:textId="5D7B9A92" w:rsidR="00BE115F" w:rsidRDefault="00516650" w:rsidP="00A618DC">
      <w:pPr>
        <w:jc w:val="both"/>
        <w:rPr>
          <w:b/>
          <w:bCs/>
          <w:color w:val="000000"/>
        </w:rPr>
      </w:pPr>
      <w:r>
        <w:rPr>
          <w:b/>
          <w:lang w:eastAsia="zh-TW"/>
        </w:rPr>
        <w:t xml:space="preserve">Proposal </w:t>
      </w:r>
      <w:r w:rsidR="00A618DC">
        <w:rPr>
          <w:b/>
          <w:lang w:eastAsia="zh-TW"/>
        </w:rPr>
        <w:t>1</w:t>
      </w:r>
      <w:r w:rsidRPr="001F274F">
        <w:rPr>
          <w:b/>
          <w:lang w:eastAsia="zh-TW"/>
        </w:rPr>
        <w:t xml:space="preserve">: </w:t>
      </w:r>
      <w:r w:rsidR="00A618DC">
        <w:rPr>
          <w:b/>
          <w:lang w:eastAsia="zh-TW"/>
        </w:rPr>
        <w:t>Reach a conclusion stating that RAN1 keeps power-domain enhancements related discussions on hold and waits for RAN4 progress on these objectives</w:t>
      </w:r>
      <w:r w:rsidR="00210363">
        <w:rPr>
          <w:b/>
          <w:lang w:eastAsia="zh-TW"/>
        </w:rPr>
        <w:t xml:space="preserve">. </w:t>
      </w:r>
    </w:p>
    <w:p w14:paraId="69E5B86A" w14:textId="77777777" w:rsidR="00A618DC" w:rsidRPr="00A618DC" w:rsidRDefault="00A618DC" w:rsidP="00A618DC">
      <w:pPr>
        <w:jc w:val="both"/>
        <w:rPr>
          <w:b/>
          <w:bCs/>
          <w:color w:val="000000"/>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4F844A9F" w14:textId="77777777" w:rsidR="00506B37" w:rsidRDefault="00506B37" w:rsidP="00506B37">
      <w:pPr>
        <w:jc w:val="both"/>
        <w:rPr>
          <w:bCs/>
          <w:i/>
          <w:iCs/>
          <w:lang w:eastAsia="zh-TW"/>
        </w:rPr>
      </w:pPr>
      <w:r>
        <w:rPr>
          <w:b/>
          <w:i/>
          <w:iCs/>
          <w:lang w:eastAsia="zh-TW"/>
        </w:rPr>
        <w:t>Observation 1</w:t>
      </w:r>
      <w:r w:rsidRPr="0093035F">
        <w:rPr>
          <w:b/>
          <w:i/>
          <w:iCs/>
          <w:lang w:eastAsia="zh-TW"/>
        </w:rPr>
        <w:t xml:space="preserve">: </w:t>
      </w:r>
      <w:r>
        <w:rPr>
          <w:bCs/>
          <w:i/>
          <w:iCs/>
          <w:lang w:eastAsia="zh-TW"/>
        </w:rPr>
        <w:t xml:space="preserve">Rel-18 work objective on increasing UE power high limit appears to be related to Rel-17 RAN4 work, and RAN4 is expected to continue studying this topic as the lead WG. </w:t>
      </w:r>
    </w:p>
    <w:p w14:paraId="31A6CE93" w14:textId="587EA7AF" w:rsidR="00234CAE" w:rsidRPr="00506B37" w:rsidRDefault="00506B37" w:rsidP="00506B37">
      <w:pPr>
        <w:jc w:val="both"/>
        <w:rPr>
          <w:bCs/>
          <w:lang w:eastAsia="zh-TW"/>
        </w:rPr>
      </w:pPr>
      <w:r>
        <w:rPr>
          <w:b/>
          <w:i/>
          <w:iCs/>
          <w:lang w:eastAsia="zh-TW"/>
        </w:rPr>
        <w:t>Observation 2</w:t>
      </w:r>
      <w:r w:rsidRPr="0093035F">
        <w:rPr>
          <w:b/>
          <w:i/>
          <w:iCs/>
          <w:lang w:eastAsia="zh-TW"/>
        </w:rPr>
        <w:t xml:space="preserve">: </w:t>
      </w:r>
      <w:r>
        <w:rPr>
          <w:bCs/>
          <w:i/>
          <w:iCs/>
          <w:lang w:eastAsia="zh-TW"/>
        </w:rPr>
        <w:t>Rel-18 work objective on reducing MPR/PAR appears to be more in the scope of RAN4 expertise.</w:t>
      </w:r>
    </w:p>
    <w:p w14:paraId="091E908E" w14:textId="77777777" w:rsidR="00506B37" w:rsidRDefault="00506B37" w:rsidP="00572B09">
      <w:pPr>
        <w:snapToGrid w:val="0"/>
        <w:spacing w:after="0"/>
        <w:jc w:val="both"/>
        <w:rPr>
          <w:rFonts w:eastAsia="Yu Mincho"/>
          <w:lang w:eastAsia="zh-CN"/>
        </w:rPr>
      </w:pPr>
    </w:p>
    <w:p w14:paraId="65D68E83" w14:textId="4A90929B" w:rsidR="00572B09" w:rsidRDefault="00572B09" w:rsidP="00B9170C">
      <w:pPr>
        <w:snapToGrid w:val="0"/>
        <w:jc w:val="both"/>
        <w:rPr>
          <w:rFonts w:eastAsia="Yu Mincho"/>
          <w:lang w:eastAsia="zh-CN"/>
        </w:rPr>
      </w:pPr>
      <w:r w:rsidRPr="001F274F">
        <w:rPr>
          <w:rFonts w:eastAsia="Yu Mincho"/>
          <w:lang w:eastAsia="zh-CN"/>
        </w:rPr>
        <w:t>We have the following proposal:</w:t>
      </w:r>
    </w:p>
    <w:p w14:paraId="0BF68A8B" w14:textId="52E40F8D" w:rsidR="00FE48B8" w:rsidRDefault="00A618DC" w:rsidP="00FE48B8">
      <w:pPr>
        <w:jc w:val="both"/>
        <w:rPr>
          <w:b/>
          <w:lang w:eastAsia="zh-TW"/>
        </w:rPr>
      </w:pPr>
      <w:r>
        <w:rPr>
          <w:b/>
          <w:lang w:eastAsia="zh-TW"/>
        </w:rPr>
        <w:t>Proposal 1</w:t>
      </w:r>
      <w:r w:rsidRPr="001F274F">
        <w:rPr>
          <w:b/>
          <w:lang w:eastAsia="zh-TW"/>
        </w:rPr>
        <w:t xml:space="preserve">: </w:t>
      </w:r>
      <w:r>
        <w:rPr>
          <w:b/>
          <w:lang w:eastAsia="zh-TW"/>
        </w:rPr>
        <w:t>Reach a conclusion stating that RAN1 keeps power-domain enhancements related discussions on hold and waits for RAN4 progress on these objectives.</w:t>
      </w:r>
    </w:p>
    <w:p w14:paraId="12358238" w14:textId="77777777" w:rsidR="00405D37" w:rsidRDefault="00405D37" w:rsidP="00FE48B8">
      <w:pPr>
        <w:jc w:val="both"/>
        <w:rPr>
          <w:b/>
          <w:lang w:eastAsia="zh-TW"/>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41275BD8" w14:textId="234DB2BB" w:rsidR="00054D44" w:rsidRPr="00117378" w:rsidRDefault="00463A95" w:rsidP="00463A95">
      <w:pPr>
        <w:numPr>
          <w:ilvl w:val="0"/>
          <w:numId w:val="2"/>
        </w:numPr>
      </w:pPr>
      <w:r w:rsidRPr="00097DCF">
        <w:t>RP-</w:t>
      </w:r>
      <w:r w:rsidRPr="000B3402">
        <w:t>221858</w:t>
      </w:r>
      <w:r>
        <w:t xml:space="preserve">, </w:t>
      </w:r>
      <w:r w:rsidRPr="00117378">
        <w:t>Revised WID on Further NR coverage enhancements, China Telecom, June 2022.</w:t>
      </w:r>
    </w:p>
    <w:p w14:paraId="76CE75B0" w14:textId="3EF205AF" w:rsidR="00117378" w:rsidRPr="00117378" w:rsidRDefault="00117378" w:rsidP="00463A95">
      <w:pPr>
        <w:numPr>
          <w:ilvl w:val="0"/>
          <w:numId w:val="2"/>
        </w:numPr>
      </w:pPr>
      <w:r w:rsidRPr="00117378">
        <w:t>R1-2209522</w:t>
      </w:r>
      <w:r w:rsidR="005B1C2D">
        <w:t>,</w:t>
      </w:r>
      <w:r w:rsidR="005B1C2D" w:rsidRPr="005B1C2D">
        <w:t xml:space="preserve"> Revised WID: Increasing UE power high limit for CA and DC</w:t>
      </w:r>
      <w:r w:rsidR="005B1C2D">
        <w:t xml:space="preserve">, </w:t>
      </w:r>
      <w:r w:rsidR="005B1C2D" w:rsidRPr="005B1C2D">
        <w:t>China Telecom, Qualcomm</w:t>
      </w:r>
      <w:r w:rsidR="005B1C2D">
        <w:t>, June 2022.</w:t>
      </w:r>
    </w:p>
    <w:p w14:paraId="2206C300" w14:textId="2EC62361" w:rsidR="00117378" w:rsidRPr="00117378" w:rsidRDefault="00117378" w:rsidP="00463A95">
      <w:pPr>
        <w:numPr>
          <w:ilvl w:val="0"/>
          <w:numId w:val="2"/>
        </w:numPr>
      </w:pPr>
      <w:r w:rsidRPr="00117378">
        <w:t>RP-221589</w:t>
      </w:r>
      <w:r w:rsidR="001950FE">
        <w:t xml:space="preserve">, </w:t>
      </w:r>
      <w:r w:rsidR="001950FE" w:rsidRPr="001950FE">
        <w:t>Summary for WI Increasing UE power high limit for CA and DC</w:t>
      </w:r>
      <w:r w:rsidR="001950FE">
        <w:t xml:space="preserve">, </w:t>
      </w:r>
      <w:r w:rsidR="001950FE" w:rsidRPr="001950FE">
        <w:t>Qualcomm Incorporated, China Telecom</w:t>
      </w:r>
      <w:r w:rsidR="001950FE">
        <w:t>, June 2022.</w:t>
      </w:r>
    </w:p>
    <w:sectPr w:rsidR="00117378" w:rsidRPr="0011737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4A85A" w14:textId="77777777" w:rsidR="00456CD9" w:rsidRDefault="00456CD9">
      <w:r>
        <w:separator/>
      </w:r>
    </w:p>
  </w:endnote>
  <w:endnote w:type="continuationSeparator" w:id="0">
    <w:p w14:paraId="3E967F71" w14:textId="77777777" w:rsidR="00456CD9" w:rsidRDefault="00456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33116" w14:textId="77777777" w:rsidR="00456CD9" w:rsidRDefault="00456CD9">
      <w:r>
        <w:separator/>
      </w:r>
    </w:p>
  </w:footnote>
  <w:footnote w:type="continuationSeparator" w:id="0">
    <w:p w14:paraId="39650054" w14:textId="77777777" w:rsidR="00456CD9" w:rsidRDefault="00456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13F9C"/>
    <w:multiLevelType w:val="hybridMultilevel"/>
    <w:tmpl w:val="B58C43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0C507ABC"/>
    <w:multiLevelType w:val="hybridMultilevel"/>
    <w:tmpl w:val="3EAA4B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F6E76"/>
    <w:multiLevelType w:val="hybridMultilevel"/>
    <w:tmpl w:val="E416CA92"/>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4"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3"/>
  </w:num>
  <w:num w:numId="2" w16cid:durableId="770783937">
    <w:abstractNumId w:val="7"/>
  </w:num>
  <w:num w:numId="3" w16cid:durableId="1241284276">
    <w:abstractNumId w:val="31"/>
  </w:num>
  <w:num w:numId="4" w16cid:durableId="1961178633">
    <w:abstractNumId w:val="20"/>
  </w:num>
  <w:num w:numId="5" w16cid:durableId="1636370996">
    <w:abstractNumId w:val="28"/>
  </w:num>
  <w:num w:numId="6" w16cid:durableId="791367854">
    <w:abstractNumId w:val="9"/>
  </w:num>
  <w:num w:numId="7" w16cid:durableId="402029737">
    <w:abstractNumId w:val="30"/>
  </w:num>
  <w:num w:numId="8" w16cid:durableId="1685129733">
    <w:abstractNumId w:val="3"/>
  </w:num>
  <w:num w:numId="9" w16cid:durableId="1115053937">
    <w:abstractNumId w:val="12"/>
  </w:num>
  <w:num w:numId="10" w16cid:durableId="884215508">
    <w:abstractNumId w:val="33"/>
  </w:num>
  <w:num w:numId="11" w16cid:durableId="1078945869">
    <w:abstractNumId w:val="24"/>
  </w:num>
  <w:num w:numId="12" w16cid:durableId="930164769">
    <w:abstractNumId w:val="27"/>
  </w:num>
  <w:num w:numId="13" w16cid:durableId="443770028">
    <w:abstractNumId w:val="13"/>
  </w:num>
  <w:num w:numId="14" w16cid:durableId="311569556">
    <w:abstractNumId w:val="29"/>
  </w:num>
  <w:num w:numId="15" w16cid:durableId="1319571558">
    <w:abstractNumId w:val="21"/>
  </w:num>
  <w:num w:numId="16" w16cid:durableId="1218469968">
    <w:abstractNumId w:val="4"/>
  </w:num>
  <w:num w:numId="17" w16cid:durableId="662898375">
    <w:abstractNumId w:val="17"/>
  </w:num>
  <w:num w:numId="18" w16cid:durableId="67272076">
    <w:abstractNumId w:val="18"/>
  </w:num>
  <w:num w:numId="19" w16cid:durableId="1288317669">
    <w:abstractNumId w:val="16"/>
  </w:num>
  <w:num w:numId="20" w16cid:durableId="1636331525">
    <w:abstractNumId w:val="1"/>
  </w:num>
  <w:num w:numId="21" w16cid:durableId="833644937">
    <w:abstractNumId w:val="11"/>
  </w:num>
  <w:num w:numId="22" w16cid:durableId="75710353">
    <w:abstractNumId w:val="26"/>
  </w:num>
  <w:num w:numId="23" w16cid:durableId="1324360734">
    <w:abstractNumId w:val="25"/>
  </w:num>
  <w:num w:numId="24" w16cid:durableId="148637371">
    <w:abstractNumId w:val="32"/>
  </w:num>
  <w:num w:numId="25" w16cid:durableId="1708481264">
    <w:abstractNumId w:val="5"/>
  </w:num>
  <w:num w:numId="26" w16cid:durableId="2144763809">
    <w:abstractNumId w:val="19"/>
  </w:num>
  <w:num w:numId="27" w16cid:durableId="43990561">
    <w:abstractNumId w:val="22"/>
  </w:num>
  <w:num w:numId="28" w16cid:durableId="1142229618">
    <w:abstractNumId w:val="2"/>
  </w:num>
  <w:num w:numId="29" w16cid:durableId="659621778">
    <w:abstractNumId w:val="2"/>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4"/>
  </w:num>
  <w:num w:numId="33" w16cid:durableId="1881018296">
    <w:abstractNumId w:val="15"/>
  </w:num>
  <w:num w:numId="34" w16cid:durableId="1242568690">
    <w:abstractNumId w:val="8"/>
  </w:num>
  <w:num w:numId="35" w16cid:durableId="1576470884">
    <w:abstractNumId w:val="6"/>
  </w:num>
  <w:num w:numId="36" w16cid:durableId="1759013686">
    <w:abstractNumId w:val="6"/>
  </w:num>
  <w:num w:numId="37" w16cid:durableId="22788812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967"/>
    <w:rsid w:val="00005DD1"/>
    <w:rsid w:val="00005F94"/>
    <w:rsid w:val="00006149"/>
    <w:rsid w:val="000063D5"/>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6B3"/>
    <w:rsid w:val="0001698D"/>
    <w:rsid w:val="00016C3A"/>
    <w:rsid w:val="00017115"/>
    <w:rsid w:val="000175E6"/>
    <w:rsid w:val="000177BE"/>
    <w:rsid w:val="00017BE5"/>
    <w:rsid w:val="0002017E"/>
    <w:rsid w:val="00020CF6"/>
    <w:rsid w:val="00020F0D"/>
    <w:rsid w:val="00021077"/>
    <w:rsid w:val="00021746"/>
    <w:rsid w:val="0002191D"/>
    <w:rsid w:val="00021EED"/>
    <w:rsid w:val="000222CB"/>
    <w:rsid w:val="00022737"/>
    <w:rsid w:val="00022C76"/>
    <w:rsid w:val="00022F81"/>
    <w:rsid w:val="00023FDA"/>
    <w:rsid w:val="0002426D"/>
    <w:rsid w:val="00024276"/>
    <w:rsid w:val="0002485B"/>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6A4"/>
    <w:rsid w:val="00030DA0"/>
    <w:rsid w:val="00031C1D"/>
    <w:rsid w:val="00031D88"/>
    <w:rsid w:val="00032607"/>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598"/>
    <w:rsid w:val="00045840"/>
    <w:rsid w:val="00045BA9"/>
    <w:rsid w:val="00045F09"/>
    <w:rsid w:val="000471BE"/>
    <w:rsid w:val="000472D9"/>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D3"/>
    <w:rsid w:val="000646DB"/>
    <w:rsid w:val="00064A5C"/>
    <w:rsid w:val="00064BAD"/>
    <w:rsid w:val="00065073"/>
    <w:rsid w:val="00065840"/>
    <w:rsid w:val="00066277"/>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76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280"/>
    <w:rsid w:val="00091549"/>
    <w:rsid w:val="00091618"/>
    <w:rsid w:val="00091633"/>
    <w:rsid w:val="00091A48"/>
    <w:rsid w:val="00092813"/>
    <w:rsid w:val="0009327A"/>
    <w:rsid w:val="0009373D"/>
    <w:rsid w:val="00093A4E"/>
    <w:rsid w:val="00093E7E"/>
    <w:rsid w:val="00094A36"/>
    <w:rsid w:val="00094EC9"/>
    <w:rsid w:val="00095160"/>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AC3"/>
    <w:rsid w:val="000F0C99"/>
    <w:rsid w:val="000F1F44"/>
    <w:rsid w:val="000F2D13"/>
    <w:rsid w:val="000F37FA"/>
    <w:rsid w:val="000F3EA8"/>
    <w:rsid w:val="000F3ED1"/>
    <w:rsid w:val="000F4B23"/>
    <w:rsid w:val="000F6445"/>
    <w:rsid w:val="000F6AEA"/>
    <w:rsid w:val="000F6DD6"/>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4C4B"/>
    <w:rsid w:val="00105153"/>
    <w:rsid w:val="001053CE"/>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17378"/>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2F"/>
    <w:rsid w:val="00160285"/>
    <w:rsid w:val="00160311"/>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0FE"/>
    <w:rsid w:val="0019566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C1C"/>
    <w:rsid w:val="001B70AC"/>
    <w:rsid w:val="001B718C"/>
    <w:rsid w:val="001B7CAF"/>
    <w:rsid w:val="001C039C"/>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0EC1"/>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662"/>
    <w:rsid w:val="0020776F"/>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200"/>
    <w:rsid w:val="00244728"/>
    <w:rsid w:val="00244B9C"/>
    <w:rsid w:val="00244E3D"/>
    <w:rsid w:val="0024548B"/>
    <w:rsid w:val="00245B82"/>
    <w:rsid w:val="00245CC6"/>
    <w:rsid w:val="0024626A"/>
    <w:rsid w:val="0024651F"/>
    <w:rsid w:val="0024674A"/>
    <w:rsid w:val="0024698F"/>
    <w:rsid w:val="0024759D"/>
    <w:rsid w:val="0025028C"/>
    <w:rsid w:val="00250555"/>
    <w:rsid w:val="002506F0"/>
    <w:rsid w:val="00252494"/>
    <w:rsid w:val="00252715"/>
    <w:rsid w:val="00252AF5"/>
    <w:rsid w:val="00252EB7"/>
    <w:rsid w:val="00253247"/>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3FF1"/>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BF1"/>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D38"/>
    <w:rsid w:val="00287396"/>
    <w:rsid w:val="00287850"/>
    <w:rsid w:val="00287B69"/>
    <w:rsid w:val="00287BC6"/>
    <w:rsid w:val="00287D54"/>
    <w:rsid w:val="00290711"/>
    <w:rsid w:val="0029091D"/>
    <w:rsid w:val="00290A70"/>
    <w:rsid w:val="00290D7F"/>
    <w:rsid w:val="0029193E"/>
    <w:rsid w:val="00291D15"/>
    <w:rsid w:val="00292277"/>
    <w:rsid w:val="00292343"/>
    <w:rsid w:val="00292870"/>
    <w:rsid w:val="0029299D"/>
    <w:rsid w:val="002932CC"/>
    <w:rsid w:val="00293DB6"/>
    <w:rsid w:val="002940C9"/>
    <w:rsid w:val="00295863"/>
    <w:rsid w:val="00296180"/>
    <w:rsid w:val="002962A5"/>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7D8"/>
    <w:rsid w:val="002C6BBC"/>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1DF"/>
    <w:rsid w:val="002E37C4"/>
    <w:rsid w:val="002E3921"/>
    <w:rsid w:val="002E42E8"/>
    <w:rsid w:val="002E4368"/>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2376"/>
    <w:rsid w:val="00302C96"/>
    <w:rsid w:val="003033B1"/>
    <w:rsid w:val="003036AC"/>
    <w:rsid w:val="0030378F"/>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07DF"/>
    <w:rsid w:val="00311003"/>
    <w:rsid w:val="003114DE"/>
    <w:rsid w:val="003116F2"/>
    <w:rsid w:val="003117E1"/>
    <w:rsid w:val="003118FE"/>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84E"/>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3DB"/>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5D37"/>
    <w:rsid w:val="0040680C"/>
    <w:rsid w:val="004072C1"/>
    <w:rsid w:val="00407387"/>
    <w:rsid w:val="0040738E"/>
    <w:rsid w:val="004077E2"/>
    <w:rsid w:val="00407A78"/>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4A31"/>
    <w:rsid w:val="00415C34"/>
    <w:rsid w:val="00415DFC"/>
    <w:rsid w:val="00415F4E"/>
    <w:rsid w:val="0041686D"/>
    <w:rsid w:val="0041688B"/>
    <w:rsid w:val="0041694B"/>
    <w:rsid w:val="00416C1D"/>
    <w:rsid w:val="00417852"/>
    <w:rsid w:val="00417A49"/>
    <w:rsid w:val="00417B45"/>
    <w:rsid w:val="004202F1"/>
    <w:rsid w:val="004206D7"/>
    <w:rsid w:val="00421212"/>
    <w:rsid w:val="00421C67"/>
    <w:rsid w:val="00421DBC"/>
    <w:rsid w:val="004223B9"/>
    <w:rsid w:val="0042250F"/>
    <w:rsid w:val="00422A70"/>
    <w:rsid w:val="00422A97"/>
    <w:rsid w:val="00422C1B"/>
    <w:rsid w:val="00423631"/>
    <w:rsid w:val="00423C66"/>
    <w:rsid w:val="00423D0F"/>
    <w:rsid w:val="00423FF3"/>
    <w:rsid w:val="004240B7"/>
    <w:rsid w:val="0042449F"/>
    <w:rsid w:val="004244E8"/>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CD9"/>
    <w:rsid w:val="00456F90"/>
    <w:rsid w:val="00457717"/>
    <w:rsid w:val="00457C47"/>
    <w:rsid w:val="00461BF4"/>
    <w:rsid w:val="00461DB6"/>
    <w:rsid w:val="00461FB1"/>
    <w:rsid w:val="004625AF"/>
    <w:rsid w:val="00462619"/>
    <w:rsid w:val="004627F4"/>
    <w:rsid w:val="00463A33"/>
    <w:rsid w:val="00463A95"/>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DC"/>
    <w:rsid w:val="004828AF"/>
    <w:rsid w:val="00482CB5"/>
    <w:rsid w:val="00483B6B"/>
    <w:rsid w:val="00484080"/>
    <w:rsid w:val="00484428"/>
    <w:rsid w:val="00485876"/>
    <w:rsid w:val="00485B6E"/>
    <w:rsid w:val="00485D53"/>
    <w:rsid w:val="00486079"/>
    <w:rsid w:val="00486099"/>
    <w:rsid w:val="004863AD"/>
    <w:rsid w:val="00486A75"/>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345"/>
    <w:rsid w:val="004A4C74"/>
    <w:rsid w:val="004A4DCE"/>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6AD"/>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67D"/>
    <w:rsid w:val="0050494A"/>
    <w:rsid w:val="00504ADA"/>
    <w:rsid w:val="00504C1D"/>
    <w:rsid w:val="0050590D"/>
    <w:rsid w:val="00505940"/>
    <w:rsid w:val="00505BFA"/>
    <w:rsid w:val="005061FB"/>
    <w:rsid w:val="00506586"/>
    <w:rsid w:val="00506B37"/>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650"/>
    <w:rsid w:val="00516C86"/>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F68"/>
    <w:rsid w:val="005501F9"/>
    <w:rsid w:val="00550D5A"/>
    <w:rsid w:val="005511A6"/>
    <w:rsid w:val="005515EC"/>
    <w:rsid w:val="00551B47"/>
    <w:rsid w:val="00551C83"/>
    <w:rsid w:val="00552B4C"/>
    <w:rsid w:val="00552C6A"/>
    <w:rsid w:val="005531FB"/>
    <w:rsid w:val="005534EE"/>
    <w:rsid w:val="005539A1"/>
    <w:rsid w:val="00554996"/>
    <w:rsid w:val="00555332"/>
    <w:rsid w:val="005553B2"/>
    <w:rsid w:val="005558F8"/>
    <w:rsid w:val="0055592A"/>
    <w:rsid w:val="00555DF6"/>
    <w:rsid w:val="00556660"/>
    <w:rsid w:val="00556A55"/>
    <w:rsid w:val="00556D47"/>
    <w:rsid w:val="005573C3"/>
    <w:rsid w:val="00560336"/>
    <w:rsid w:val="00560A4A"/>
    <w:rsid w:val="00560FB2"/>
    <w:rsid w:val="00561966"/>
    <w:rsid w:val="00562A3C"/>
    <w:rsid w:val="00562ADB"/>
    <w:rsid w:val="00563111"/>
    <w:rsid w:val="0056335C"/>
    <w:rsid w:val="00563C83"/>
    <w:rsid w:val="00564426"/>
    <w:rsid w:val="00564539"/>
    <w:rsid w:val="00565AE7"/>
    <w:rsid w:val="00565D29"/>
    <w:rsid w:val="0056624B"/>
    <w:rsid w:val="00566847"/>
    <w:rsid w:val="005670C4"/>
    <w:rsid w:val="005676F5"/>
    <w:rsid w:val="00567937"/>
    <w:rsid w:val="00567E8A"/>
    <w:rsid w:val="00570C03"/>
    <w:rsid w:val="00570CE9"/>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C2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1437"/>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BB5"/>
    <w:rsid w:val="00612F10"/>
    <w:rsid w:val="0061388C"/>
    <w:rsid w:val="0061484A"/>
    <w:rsid w:val="00614C10"/>
    <w:rsid w:val="00614C12"/>
    <w:rsid w:val="00615227"/>
    <w:rsid w:val="00615251"/>
    <w:rsid w:val="00616636"/>
    <w:rsid w:val="00616CFD"/>
    <w:rsid w:val="00617472"/>
    <w:rsid w:val="00617873"/>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C38"/>
    <w:rsid w:val="00681CE6"/>
    <w:rsid w:val="00681F52"/>
    <w:rsid w:val="0068258F"/>
    <w:rsid w:val="0068259C"/>
    <w:rsid w:val="0068272F"/>
    <w:rsid w:val="0068300A"/>
    <w:rsid w:val="006834AC"/>
    <w:rsid w:val="00683CE1"/>
    <w:rsid w:val="00683EB8"/>
    <w:rsid w:val="00683F69"/>
    <w:rsid w:val="00684722"/>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B25"/>
    <w:rsid w:val="006C3C89"/>
    <w:rsid w:val="006C3E68"/>
    <w:rsid w:val="006C469E"/>
    <w:rsid w:val="006C475C"/>
    <w:rsid w:val="006C4867"/>
    <w:rsid w:val="006C4E15"/>
    <w:rsid w:val="006C4E90"/>
    <w:rsid w:val="006C5991"/>
    <w:rsid w:val="006C5B64"/>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612C"/>
    <w:rsid w:val="0070646B"/>
    <w:rsid w:val="0070735E"/>
    <w:rsid w:val="00707425"/>
    <w:rsid w:val="00707889"/>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71C"/>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481"/>
    <w:rsid w:val="00760503"/>
    <w:rsid w:val="00760F08"/>
    <w:rsid w:val="0076113C"/>
    <w:rsid w:val="007614D4"/>
    <w:rsid w:val="00761AD3"/>
    <w:rsid w:val="007622B6"/>
    <w:rsid w:val="00763228"/>
    <w:rsid w:val="00763F6B"/>
    <w:rsid w:val="007644DE"/>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2974"/>
    <w:rsid w:val="0077340D"/>
    <w:rsid w:val="007738E7"/>
    <w:rsid w:val="00773C45"/>
    <w:rsid w:val="007741DE"/>
    <w:rsid w:val="0077427C"/>
    <w:rsid w:val="0077458B"/>
    <w:rsid w:val="007745EE"/>
    <w:rsid w:val="0077484A"/>
    <w:rsid w:val="00775193"/>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DA0"/>
    <w:rsid w:val="008113EA"/>
    <w:rsid w:val="00811766"/>
    <w:rsid w:val="00811EEF"/>
    <w:rsid w:val="00812149"/>
    <w:rsid w:val="0081222C"/>
    <w:rsid w:val="00812445"/>
    <w:rsid w:val="00812920"/>
    <w:rsid w:val="0081359C"/>
    <w:rsid w:val="00813B29"/>
    <w:rsid w:val="00813E92"/>
    <w:rsid w:val="00814184"/>
    <w:rsid w:val="00814485"/>
    <w:rsid w:val="00814906"/>
    <w:rsid w:val="00814B66"/>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27C65"/>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E3B"/>
    <w:rsid w:val="00872223"/>
    <w:rsid w:val="008727FA"/>
    <w:rsid w:val="00872812"/>
    <w:rsid w:val="00872F2F"/>
    <w:rsid w:val="008732D9"/>
    <w:rsid w:val="00873416"/>
    <w:rsid w:val="00873A98"/>
    <w:rsid w:val="00873B80"/>
    <w:rsid w:val="0087462F"/>
    <w:rsid w:val="008746C2"/>
    <w:rsid w:val="0087489E"/>
    <w:rsid w:val="00874A07"/>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274B"/>
    <w:rsid w:val="00892900"/>
    <w:rsid w:val="008929AE"/>
    <w:rsid w:val="00893B94"/>
    <w:rsid w:val="00893FCF"/>
    <w:rsid w:val="00894217"/>
    <w:rsid w:val="008942FE"/>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495"/>
    <w:rsid w:val="008A167B"/>
    <w:rsid w:val="008A1E2D"/>
    <w:rsid w:val="008A257A"/>
    <w:rsid w:val="008A27AE"/>
    <w:rsid w:val="008A2C81"/>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551E"/>
    <w:rsid w:val="00925B2E"/>
    <w:rsid w:val="00925F7A"/>
    <w:rsid w:val="00925F9A"/>
    <w:rsid w:val="00926453"/>
    <w:rsid w:val="0092695A"/>
    <w:rsid w:val="00927270"/>
    <w:rsid w:val="0092738E"/>
    <w:rsid w:val="00927753"/>
    <w:rsid w:val="0092780E"/>
    <w:rsid w:val="00927FB3"/>
    <w:rsid w:val="0093035F"/>
    <w:rsid w:val="009305A0"/>
    <w:rsid w:val="0093063E"/>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5C72"/>
    <w:rsid w:val="00936088"/>
    <w:rsid w:val="00936700"/>
    <w:rsid w:val="009367DB"/>
    <w:rsid w:val="0093692E"/>
    <w:rsid w:val="00937313"/>
    <w:rsid w:val="0093767B"/>
    <w:rsid w:val="00937794"/>
    <w:rsid w:val="00937E78"/>
    <w:rsid w:val="00937EB4"/>
    <w:rsid w:val="00940C5A"/>
    <w:rsid w:val="0094101C"/>
    <w:rsid w:val="00941BD6"/>
    <w:rsid w:val="00942062"/>
    <w:rsid w:val="0094221C"/>
    <w:rsid w:val="00942998"/>
    <w:rsid w:val="00942A0C"/>
    <w:rsid w:val="00942BB1"/>
    <w:rsid w:val="0094304A"/>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423"/>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C93"/>
    <w:rsid w:val="00991FAF"/>
    <w:rsid w:val="009923B8"/>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BBE"/>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D03"/>
    <w:rsid w:val="00A34572"/>
    <w:rsid w:val="00A346F9"/>
    <w:rsid w:val="00A347D4"/>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237"/>
    <w:rsid w:val="00A57371"/>
    <w:rsid w:val="00A574B6"/>
    <w:rsid w:val="00A576B0"/>
    <w:rsid w:val="00A57978"/>
    <w:rsid w:val="00A57CA9"/>
    <w:rsid w:val="00A57CBD"/>
    <w:rsid w:val="00A57DAE"/>
    <w:rsid w:val="00A60455"/>
    <w:rsid w:val="00A616E3"/>
    <w:rsid w:val="00A618DC"/>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0C64"/>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E21"/>
    <w:rsid w:val="00AE6E8E"/>
    <w:rsid w:val="00AE78E1"/>
    <w:rsid w:val="00AE7FE0"/>
    <w:rsid w:val="00AF011B"/>
    <w:rsid w:val="00AF02D2"/>
    <w:rsid w:val="00AF0315"/>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27B"/>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2DD"/>
    <w:rsid w:val="00B47369"/>
    <w:rsid w:val="00B47BE5"/>
    <w:rsid w:val="00B47C36"/>
    <w:rsid w:val="00B5041C"/>
    <w:rsid w:val="00B5042E"/>
    <w:rsid w:val="00B50812"/>
    <w:rsid w:val="00B50BAA"/>
    <w:rsid w:val="00B51357"/>
    <w:rsid w:val="00B51542"/>
    <w:rsid w:val="00B51979"/>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A0142"/>
    <w:rsid w:val="00BA0263"/>
    <w:rsid w:val="00BA0267"/>
    <w:rsid w:val="00BA0737"/>
    <w:rsid w:val="00BA090F"/>
    <w:rsid w:val="00BA173B"/>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4CF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8C0"/>
    <w:rsid w:val="00BE3451"/>
    <w:rsid w:val="00BE36BA"/>
    <w:rsid w:val="00BE3C8A"/>
    <w:rsid w:val="00BE3E13"/>
    <w:rsid w:val="00BE3E91"/>
    <w:rsid w:val="00BE42B7"/>
    <w:rsid w:val="00BE42B9"/>
    <w:rsid w:val="00BE5773"/>
    <w:rsid w:val="00BE5ADC"/>
    <w:rsid w:val="00BE61AD"/>
    <w:rsid w:val="00BE6B33"/>
    <w:rsid w:val="00BE7DB4"/>
    <w:rsid w:val="00BE7F34"/>
    <w:rsid w:val="00BF0158"/>
    <w:rsid w:val="00BF092F"/>
    <w:rsid w:val="00BF0AF9"/>
    <w:rsid w:val="00BF0F3C"/>
    <w:rsid w:val="00BF1A79"/>
    <w:rsid w:val="00BF1DA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1A85"/>
    <w:rsid w:val="00C0207A"/>
    <w:rsid w:val="00C022F7"/>
    <w:rsid w:val="00C02377"/>
    <w:rsid w:val="00C02E33"/>
    <w:rsid w:val="00C02F39"/>
    <w:rsid w:val="00C034C9"/>
    <w:rsid w:val="00C035BA"/>
    <w:rsid w:val="00C03B87"/>
    <w:rsid w:val="00C03C06"/>
    <w:rsid w:val="00C03F2F"/>
    <w:rsid w:val="00C040CC"/>
    <w:rsid w:val="00C043CA"/>
    <w:rsid w:val="00C04A85"/>
    <w:rsid w:val="00C0560E"/>
    <w:rsid w:val="00C05FE4"/>
    <w:rsid w:val="00C060BB"/>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064"/>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86F"/>
    <w:rsid w:val="00C5137F"/>
    <w:rsid w:val="00C51425"/>
    <w:rsid w:val="00C51470"/>
    <w:rsid w:val="00C51A50"/>
    <w:rsid w:val="00C51C64"/>
    <w:rsid w:val="00C51F93"/>
    <w:rsid w:val="00C52188"/>
    <w:rsid w:val="00C52924"/>
    <w:rsid w:val="00C52BDA"/>
    <w:rsid w:val="00C53590"/>
    <w:rsid w:val="00C53B0B"/>
    <w:rsid w:val="00C5427B"/>
    <w:rsid w:val="00C54724"/>
    <w:rsid w:val="00C54A49"/>
    <w:rsid w:val="00C5520F"/>
    <w:rsid w:val="00C552BD"/>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29D"/>
    <w:rsid w:val="00C72304"/>
    <w:rsid w:val="00C7254C"/>
    <w:rsid w:val="00C72890"/>
    <w:rsid w:val="00C72990"/>
    <w:rsid w:val="00C72C46"/>
    <w:rsid w:val="00C732C8"/>
    <w:rsid w:val="00C73444"/>
    <w:rsid w:val="00C7352C"/>
    <w:rsid w:val="00C73AFE"/>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CDD"/>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32DE"/>
    <w:rsid w:val="00CA334B"/>
    <w:rsid w:val="00CA35A0"/>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3BFA"/>
    <w:rsid w:val="00CB4372"/>
    <w:rsid w:val="00CB52D0"/>
    <w:rsid w:val="00CB55B9"/>
    <w:rsid w:val="00CB5A7C"/>
    <w:rsid w:val="00CB5B94"/>
    <w:rsid w:val="00CB6057"/>
    <w:rsid w:val="00CB7720"/>
    <w:rsid w:val="00CC0368"/>
    <w:rsid w:val="00CC041E"/>
    <w:rsid w:val="00CC05FC"/>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718"/>
    <w:rsid w:val="00DA679B"/>
    <w:rsid w:val="00DA68FA"/>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5793"/>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6C7"/>
    <w:rsid w:val="00E21821"/>
    <w:rsid w:val="00E21991"/>
    <w:rsid w:val="00E21BDA"/>
    <w:rsid w:val="00E21EC2"/>
    <w:rsid w:val="00E22227"/>
    <w:rsid w:val="00E22389"/>
    <w:rsid w:val="00E225E0"/>
    <w:rsid w:val="00E22AB6"/>
    <w:rsid w:val="00E22BD4"/>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6E"/>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6182"/>
    <w:rsid w:val="00E667B5"/>
    <w:rsid w:val="00E66AAF"/>
    <w:rsid w:val="00E66C71"/>
    <w:rsid w:val="00E70376"/>
    <w:rsid w:val="00E703A1"/>
    <w:rsid w:val="00E70876"/>
    <w:rsid w:val="00E70E69"/>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EA4"/>
    <w:rsid w:val="00E93466"/>
    <w:rsid w:val="00E93697"/>
    <w:rsid w:val="00E94573"/>
    <w:rsid w:val="00E94D39"/>
    <w:rsid w:val="00E95081"/>
    <w:rsid w:val="00E9538A"/>
    <w:rsid w:val="00E955DF"/>
    <w:rsid w:val="00E95A0B"/>
    <w:rsid w:val="00E95D7D"/>
    <w:rsid w:val="00E95EF9"/>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81C"/>
    <w:rsid w:val="00ED1DF1"/>
    <w:rsid w:val="00ED2066"/>
    <w:rsid w:val="00ED20EC"/>
    <w:rsid w:val="00ED256A"/>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DF7"/>
    <w:rsid w:val="00F115A8"/>
    <w:rsid w:val="00F11FEF"/>
    <w:rsid w:val="00F12177"/>
    <w:rsid w:val="00F12764"/>
    <w:rsid w:val="00F1298C"/>
    <w:rsid w:val="00F129F3"/>
    <w:rsid w:val="00F1313D"/>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0E35"/>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EFB"/>
    <w:rsid w:val="00F57369"/>
    <w:rsid w:val="00F6019E"/>
    <w:rsid w:val="00F604FC"/>
    <w:rsid w:val="00F60554"/>
    <w:rsid w:val="00F6077D"/>
    <w:rsid w:val="00F60CC7"/>
    <w:rsid w:val="00F60EF8"/>
    <w:rsid w:val="00F61215"/>
    <w:rsid w:val="00F61359"/>
    <w:rsid w:val="00F61E96"/>
    <w:rsid w:val="00F61F76"/>
    <w:rsid w:val="00F6203C"/>
    <w:rsid w:val="00F62382"/>
    <w:rsid w:val="00F62426"/>
    <w:rsid w:val="00F62E6C"/>
    <w:rsid w:val="00F632E7"/>
    <w:rsid w:val="00F63976"/>
    <w:rsid w:val="00F63D81"/>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B78"/>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9DD"/>
    <w:rsid w:val="00FD3BD6"/>
    <w:rsid w:val="00FD45BD"/>
    <w:rsid w:val="00FD4DF8"/>
    <w:rsid w:val="00FD516C"/>
    <w:rsid w:val="00FD5595"/>
    <w:rsid w:val="00FD5982"/>
    <w:rsid w:val="00FD63E5"/>
    <w:rsid w:val="00FD6529"/>
    <w:rsid w:val="00FD6624"/>
    <w:rsid w:val="00FD6C66"/>
    <w:rsid w:val="00FD71F0"/>
    <w:rsid w:val="00FD769A"/>
    <w:rsid w:val="00FE03AB"/>
    <w:rsid w:val="00FE0DAD"/>
    <w:rsid w:val="00FE115F"/>
    <w:rsid w:val="00FE1384"/>
    <w:rsid w:val="00FE1529"/>
    <w:rsid w:val="00FE171D"/>
    <w:rsid w:val="00FE1F50"/>
    <w:rsid w:val="00FE207D"/>
    <w:rsid w:val="00FE223C"/>
    <w:rsid w:val="00FE30D7"/>
    <w:rsid w:val="00FE3C4C"/>
    <w:rsid w:val="00FE4150"/>
    <w:rsid w:val="00FE4841"/>
    <w:rsid w:val="00FE48B8"/>
    <w:rsid w:val="00FE5EEA"/>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B37"/>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28105163">
      <w:bodyDiv w:val="1"/>
      <w:marLeft w:val="0"/>
      <w:marRight w:val="0"/>
      <w:marTop w:val="0"/>
      <w:marBottom w:val="0"/>
      <w:divBdr>
        <w:top w:val="none" w:sz="0" w:space="0" w:color="auto"/>
        <w:left w:val="none" w:sz="0" w:space="0" w:color="auto"/>
        <w:bottom w:val="none" w:sz="0" w:space="0" w:color="auto"/>
        <w:right w:val="none" w:sz="0" w:space="0" w:color="auto"/>
      </w:divBdr>
      <w:divsChild>
        <w:div w:id="1495297850">
          <w:marLeft w:val="1166"/>
          <w:marRight w:val="0"/>
          <w:marTop w:val="72"/>
          <w:marBottom w:val="0"/>
          <w:divBdr>
            <w:top w:val="none" w:sz="0" w:space="0" w:color="auto"/>
            <w:left w:val="none" w:sz="0" w:space="0" w:color="auto"/>
            <w:bottom w:val="none" w:sz="0" w:space="0" w:color="auto"/>
            <w:right w:val="none" w:sz="0" w:space="0" w:color="auto"/>
          </w:divBdr>
        </w:div>
      </w:divsChild>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5160766">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165593">
      <w:bodyDiv w:val="1"/>
      <w:marLeft w:val="0"/>
      <w:marRight w:val="0"/>
      <w:marTop w:val="0"/>
      <w:marBottom w:val="0"/>
      <w:divBdr>
        <w:top w:val="none" w:sz="0" w:space="0" w:color="auto"/>
        <w:left w:val="none" w:sz="0" w:space="0" w:color="auto"/>
        <w:bottom w:val="none" w:sz="0" w:space="0" w:color="auto"/>
        <w:right w:val="none" w:sz="0" w:space="0" w:color="auto"/>
      </w:divBdr>
      <w:divsChild>
        <w:div w:id="1447963730">
          <w:marLeft w:val="878"/>
          <w:marRight w:val="0"/>
          <w:marTop w:val="240"/>
          <w:marBottom w:val="0"/>
          <w:divBdr>
            <w:top w:val="none" w:sz="0" w:space="0" w:color="auto"/>
            <w:left w:val="none" w:sz="0" w:space="0" w:color="auto"/>
            <w:bottom w:val="none" w:sz="0" w:space="0" w:color="auto"/>
            <w:right w:val="none" w:sz="0" w:space="0" w:color="auto"/>
          </w:divBdr>
        </w:div>
        <w:div w:id="520583727">
          <w:marLeft w:val="1267"/>
          <w:marRight w:val="0"/>
          <w:marTop w:val="180"/>
          <w:marBottom w:val="0"/>
          <w:divBdr>
            <w:top w:val="none" w:sz="0" w:space="0" w:color="auto"/>
            <w:left w:val="none" w:sz="0" w:space="0" w:color="auto"/>
            <w:bottom w:val="none" w:sz="0" w:space="0" w:color="auto"/>
            <w:right w:val="none" w:sz="0" w:space="0" w:color="auto"/>
          </w:divBdr>
        </w:div>
        <w:div w:id="763770758">
          <w:marLeft w:val="1699"/>
          <w:marRight w:val="0"/>
          <w:marTop w:val="180"/>
          <w:marBottom w:val="0"/>
          <w:divBdr>
            <w:top w:val="none" w:sz="0" w:space="0" w:color="auto"/>
            <w:left w:val="none" w:sz="0" w:space="0" w:color="auto"/>
            <w:bottom w:val="none" w:sz="0" w:space="0" w:color="auto"/>
            <w:right w:val="none" w:sz="0" w:space="0" w:color="auto"/>
          </w:divBdr>
        </w:div>
        <w:div w:id="1305431532">
          <w:marLeft w:val="878"/>
          <w:marRight w:val="0"/>
          <w:marTop w:val="240"/>
          <w:marBottom w:val="0"/>
          <w:divBdr>
            <w:top w:val="none" w:sz="0" w:space="0" w:color="auto"/>
            <w:left w:val="none" w:sz="0" w:space="0" w:color="auto"/>
            <w:bottom w:val="none" w:sz="0" w:space="0" w:color="auto"/>
            <w:right w:val="none" w:sz="0" w:space="0" w:color="auto"/>
          </w:divBdr>
        </w:div>
        <w:div w:id="825244688">
          <w:marLeft w:val="1267"/>
          <w:marRight w:val="0"/>
          <w:marTop w:val="180"/>
          <w:marBottom w:val="0"/>
          <w:divBdr>
            <w:top w:val="none" w:sz="0" w:space="0" w:color="auto"/>
            <w:left w:val="none" w:sz="0" w:space="0" w:color="auto"/>
            <w:bottom w:val="none" w:sz="0" w:space="0" w:color="auto"/>
            <w:right w:val="none" w:sz="0" w:space="0" w:color="auto"/>
          </w:divBdr>
        </w:div>
        <w:div w:id="968781934">
          <w:marLeft w:val="1267"/>
          <w:marRight w:val="0"/>
          <w:marTop w:val="180"/>
          <w:marBottom w:val="0"/>
          <w:divBdr>
            <w:top w:val="none" w:sz="0" w:space="0" w:color="auto"/>
            <w:left w:val="none" w:sz="0" w:space="0" w:color="auto"/>
            <w:bottom w:val="none" w:sz="0" w:space="0" w:color="auto"/>
            <w:right w:val="none" w:sz="0" w:space="0" w:color="auto"/>
          </w:divBdr>
        </w:div>
        <w:div w:id="1931086457">
          <w:marLeft w:val="1267"/>
          <w:marRight w:val="0"/>
          <w:marTop w:val="18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54710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2844286">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33606738">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29212</TotalTime>
  <Pages>2</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4071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1979</cp:revision>
  <cp:lastPrinted>2017-09-11T17:45:00Z</cp:lastPrinted>
  <dcterms:created xsi:type="dcterms:W3CDTF">2019-04-02T16:59:00Z</dcterms:created>
  <dcterms:modified xsi:type="dcterms:W3CDTF">2022-09-30T12:40:00Z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